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br/>
        <w:t xml:space="preserve"> 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 </w:t>
      </w:r>
      <w:r>
        <w:rPr>
          <w:rFonts w:eastAsia="Times New Roman" w:cs="Times New Roman" w:ascii="Times New Roman" w:hAnsi="Times New Roman"/>
          <w:b/>
          <w:sz w:val="28"/>
          <w:szCs w:val="28"/>
          <w:lang w:eastAsia="ru-RU"/>
        </w:rPr>
        <w:t>ПО.б.26.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rPr>
          <w:rFonts w:ascii="Times New Roman" w:hAnsi="Times New Roman" w:cs="Times New Roman"/>
          <w:sz w:val="28"/>
          <w:szCs w:val="28"/>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1"/>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ПО.б.26.</w:t>
      </w:r>
      <w:r>
        <w:rPr>
          <w:rFonts w:ascii="Times New Roman" w:hAnsi="Times New Roman"/>
          <w:b/>
          <w:bCs/>
          <w:sz w:val="24"/>
          <w:szCs w:val="28"/>
        </w:rPr>
        <w:t>3</w:t>
      </w:r>
    </w:p>
    <w:p>
      <w:pPr>
        <w:pStyle w:val="Normal"/>
        <w:jc w:val="both"/>
        <w:rPr>
          <w:rFonts w:ascii="Times New Roman" w:hAnsi="Times New Roman" w:eastAsia="Times New Roman" w:cs="Times New Roman"/>
          <w:bCs/>
          <w:i/>
          <w:i/>
          <w:sz w:val="24"/>
          <w:szCs w:val="24"/>
          <w:u w:val="single"/>
          <w:lang w:eastAsia="ru-RU"/>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Times New Roman" w:cs="Times New Roman" w:ascii="Times New Roman" w:hAnsi="Times New Roman"/>
          <w:bCs/>
          <w:i/>
          <w:sz w:val="24"/>
          <w:szCs w:val="24"/>
          <w:u w:val="single"/>
          <w:lang w:eastAsia="ru-RU"/>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12"/>
        </w:numPr>
        <w:tabs>
          <w:tab w:val="clear" w:pos="708"/>
          <w:tab w:val="left" w:pos="284" w:leader="none"/>
        </w:tabs>
        <w:spacing w:lineRule="auto" w:line="240" w:before="0" w:after="0"/>
        <w:ind w:hanging="720" w:left="1134"/>
        <w:contextualSpacing/>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по предмету предварительного отбора «оказание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1. Работы по сохранению объекта культурного наследия, включенного в реестр проводятся на основании задания на проведение указанных работ, разрешения на проведение указанных работ, </w:t>
            </w:r>
            <w:r>
              <w:rPr>
                <w:rFonts w:eastAsia="Times New Roman" w:cs="Times New Roman" w:ascii="Times New Roman" w:hAnsi="Times New Roman"/>
                <w:b/>
                <w:sz w:val="24"/>
                <w:szCs w:val="24"/>
                <w:lang w:eastAsia="ru-RU"/>
              </w:rPr>
              <w:t>выданных органом охраны объектов культурного наследия</w:t>
            </w:r>
            <w:r>
              <w:rPr>
                <w:rFonts w:eastAsia="Times New Roman" w:cs="Times New Roman" w:ascii="Times New Roman" w:hAnsi="Times New Roman"/>
                <w:sz w:val="24"/>
                <w:szCs w:val="24"/>
                <w:lang w:eastAsia="ru-RU"/>
              </w:rPr>
              <w:t>, проектной документации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2. 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w:t>
            </w:r>
            <w:r>
              <w:rPr>
                <w:rFonts w:eastAsia="Times New Roman" w:cs="Times New Roman" w:ascii="Times New Roman" w:hAnsi="Times New Roman"/>
                <w:b/>
                <w:sz w:val="24"/>
                <w:szCs w:val="24"/>
                <w:lang w:eastAsia="ru-RU"/>
              </w:rPr>
              <w:t>имеющие лицензию на осуществление деятельности по сохранению объектов культурного наследия</w:t>
            </w:r>
            <w:r>
              <w:rPr>
                <w:rFonts w:eastAsia="Times New Roman" w:cs="Times New Roman" w:ascii="Times New Roman" w:hAnsi="Times New Roman"/>
                <w:sz w:val="24"/>
                <w:szCs w:val="24"/>
                <w:lang w:eastAsia="ru-RU"/>
              </w:rPr>
              <w:t xml:space="preserve">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Осуществлять фото фиксацию скрытых работ, основных этапов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При производстве работ Подрядчик должен использовать материалы, имеющие сертификаты качества (паспорта на материалы и оборудование). Качество используемых материалов должно соответствовать действующим ГОСТ, ТУ.</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 локальными сметами.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jc w:val="center"/>
        <w:rPr>
          <w:rFonts w:ascii="Times New Roman" w:hAnsi="Times New Roman" w:cs="Times New Roman"/>
          <w:b/>
          <w:sz w:val="28"/>
          <w:szCs w:val="28"/>
        </w:rPr>
      </w:pPr>
      <w:r>
        <w:rPr>
          <w:rStyle w:val="Style15"/>
          <w:rFonts w:cs="Times New Roman" w:ascii="Times New Roman" w:hAnsi="Times New Roman"/>
          <w:b/>
          <w:sz w:val="28"/>
          <w:szCs w:val="28"/>
          <w:lang w:val="en-US"/>
        </w:rPr>
        <w:t>III</w:t>
      </w:r>
      <w:r>
        <w:rPr>
          <w:rStyle w:val="Style15"/>
          <w:rFonts w:cs="Times New Roman" w:ascii="Times New Roman" w:hAnsi="Times New Roman"/>
          <w:b/>
          <w:sz w:val="28"/>
          <w:szCs w:val="28"/>
        </w:rPr>
        <w:t>. 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tabs>
                <w:tab w:val="clear" w:pos="708"/>
                <w:tab w:val="left" w:pos="607" w:leader="none"/>
              </w:tabs>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оплаты услуг и (или)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Pr>
                <w:rFonts w:eastAsia="Calibri" w:cs="Times New Roman" w:ascii="Times New Roman" w:hAnsi="Times New Roman"/>
                <w:kern w:val="0"/>
                <w:sz w:val="24"/>
                <w:szCs w:val="24"/>
                <w:lang w:val="ru-RU" w:eastAsia="en-US" w:bidi="ar-SA"/>
              </w:rPr>
              <w:t>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1. Порядок и сроки приемки оказания услуг и (или) выполнения работ устанавливаются Заказчиком в документации о проведении электронного аукциона.</w:t>
            </w:r>
          </w:p>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оказанных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ListParagraph"/>
              <w:widowControl/>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2. </w:t>
            </w:r>
            <w:r>
              <w:rPr>
                <w:rFonts w:eastAsia="Calibri" w:cs="Times New Roman" w:ascii="Times New Roman" w:hAnsi="Times New Roman"/>
                <w:kern w:val="0"/>
                <w:sz w:val="24"/>
                <w:szCs w:val="24"/>
                <w:lang w:val="ru-RU" w:eastAsia="en-US" w:bidi="ar-SA"/>
              </w:rPr>
              <w:t>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3. </w:t>
            </w:r>
            <w:r>
              <w:rPr>
                <w:rFonts w:eastAsia="Calibri" w:cs="Times New Roman" w:ascii="Times New Roman" w:hAnsi="Times New Roman"/>
                <w:kern w:val="0"/>
                <w:sz w:val="24"/>
                <w:szCs w:val="24"/>
                <w:lang w:val="ru-RU" w:eastAsia="en-US" w:bidi="ar-SA"/>
              </w:rPr>
              <w:t>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в) </w:t>
            </w:r>
            <w:r>
              <w:rPr>
                <w:rFonts w:eastAsia="Calibri" w:cs="Times New Roman" w:ascii="Times New Roman" w:hAnsi="Times New Roman"/>
                <w:kern w:val="0"/>
                <w:sz w:val="24"/>
                <w:szCs w:val="24"/>
                <w:lang w:val="ru-RU" w:eastAsia="en-US" w:bidi="ar-SA"/>
              </w:rPr>
              <w:t>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7. В документации о проведении электронного аукциона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о выполнении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rHeight w:val="5246"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8"/>
        </w:numPr>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r>
        <w:rPr>
          <w:rFonts w:cs="Times New Roman" w:ascii="Times New Roman" w:hAnsi="Times New Roman"/>
          <w:sz w:val="28"/>
          <w:szCs w:val="28"/>
        </w:rPr>
        <w:t xml:space="preserve">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w:t>
      </w:r>
      <w:r>
        <w:rPr/>
        <w:t xml:space="preserve"> </w:t>
      </w:r>
      <w:r>
        <w:rPr>
          <w:rFonts w:cs="Times New Roman" w:ascii="Times New Roman" w:hAnsi="Times New Roman"/>
          <w:sz w:val="28"/>
          <w:szCs w:val="28"/>
        </w:rPr>
        <w:t>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наличие у Участника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w:t>
        <w:br/>
        <w:t>90 000 000 (шестьдесят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(шестидесяти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выписка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 представленная в форме электронного документа, подписанного усиленной квалифицированной электронной подписью лицензирующего органа либо в случае ведения указанного реестра лицензий в информационной системе, оператором которой является федеральный орган исполнительной власти, электронной подписью указанной информационной системы;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и)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л) копии трудовых книжек </w:t>
      </w:r>
      <w:r>
        <w:rPr>
          <w:rFonts w:cs="Times New Roman" w:ascii="Times New Roman" w:hAnsi="Times New Roman"/>
          <w:sz w:val="28"/>
          <w:szCs w:val="28"/>
        </w:rPr>
        <w:t>и (или) сведения о трудовой деятельности, предусмотренные статьей 66.1 Трудового кодекса Российской Федерации, копии</w:t>
      </w:r>
      <w:r>
        <w:rPr>
          <w:rStyle w:val="Style15"/>
          <w:rFonts w:cs="Times New Roman" w:ascii="Times New Roman" w:hAnsi="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«м»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«п»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ПО.б.26.</w:t>
      </w:r>
      <w:r>
        <w:rPr>
          <w:rFonts w:cs="Times New Roman" w:ascii="Times New Roman" w:hAnsi="Times New Roman"/>
          <w:b/>
          <w:sz w:val="28"/>
          <w:szCs w:val="28"/>
        </w:rPr>
        <w:t>3</w:t>
      </w:r>
      <w:r>
        <w:rPr>
          <w:rFonts w:cs="Times New Roman" w:ascii="Times New Roman" w:hAnsi="Times New Roman"/>
          <w:b/>
          <w:sz w:val="28"/>
          <w:szCs w:val="28"/>
        </w:rPr>
        <w:t xml:space="preserve"> от 2</w:t>
      </w:r>
      <w:r>
        <w:rPr>
          <w:rFonts w:cs="Times New Roman" w:ascii="Times New Roman" w:hAnsi="Times New Roman"/>
          <w:b/>
          <w:sz w:val="28"/>
          <w:szCs w:val="28"/>
        </w:rPr>
        <w:t>5</w:t>
      </w:r>
      <w:r>
        <w:rPr>
          <w:rFonts w:cs="Times New Roman" w:ascii="Times New Roman" w:hAnsi="Times New Roman"/>
          <w:b/>
          <w:sz w:val="28"/>
          <w:szCs w:val="28"/>
        </w:rPr>
        <w:t>.0</w:t>
      </w:r>
      <w:r>
        <w:rPr>
          <w:rFonts w:cs="Times New Roman" w:ascii="Times New Roman" w:hAnsi="Times New Roman"/>
          <w:b/>
          <w:sz w:val="28"/>
          <w:szCs w:val="28"/>
        </w:rPr>
        <w:t>8</w:t>
      </w:r>
      <w:r>
        <w:rPr>
          <w:rFonts w:cs="Times New Roman" w:ascii="Times New Roman" w:hAnsi="Times New Roman"/>
          <w:b/>
          <w:sz w:val="28"/>
          <w:szCs w:val="28"/>
        </w:rPr>
        <w:t>.2026</w:t>
      </w:r>
      <w:r>
        <w:rPr>
          <w:rFonts w:cs="Times New Roman" w:ascii="Times New Roman" w:hAnsi="Times New Roman"/>
          <w:sz w:val="28"/>
          <w:szCs w:val="28"/>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eastAsia="Times New Roman"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w:t>
      </w:r>
      <w:r>
        <w:rPr>
          <w:rFonts w:cs="Times New Roman" w:ascii="Times New Roman" w:hAnsi="Times New Roman"/>
          <w:b/>
          <w:sz w:val="28"/>
          <w:szCs w:val="28"/>
        </w:rPr>
        <w:t xml:space="preserve"> </w:t>
      </w:r>
      <w:r>
        <w:rPr>
          <w:rFonts w:cs="Times New Roman" w:ascii="Times New Roman" w:hAnsi="Times New Roman"/>
          <w:b/>
          <w:sz w:val="28"/>
          <w:szCs w:val="28"/>
        </w:rPr>
        <w:t>сентября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tabs>
          <w:tab w:val="clear" w:pos="708"/>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7. 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ind w:left="584"/>
        <w:jc w:val="center"/>
        <w:rPr>
          <w:rFonts w:ascii="Times New Roman" w:hAnsi="Times New Roman" w:cs="Times New Roman"/>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_______________</w:t>
      </w:r>
      <w:r>
        <w:rPr>
          <w:rFonts w:cs="Times New Roman" w:ascii="Times New Roman" w:hAnsi="Times New Roman"/>
          <w:b/>
          <w:sz w:val="24"/>
          <w:szCs w:val="24"/>
        </w:rPr>
        <w:t xml:space="preserve"> ОТ </w:t>
      </w:r>
      <w:r>
        <w:rPr>
          <w:rFonts w:cs="Times New Roman" w:ascii="Times New Roman" w:hAnsi="Times New Roman"/>
          <w:sz w:val="24"/>
          <w:szCs w:val="24"/>
        </w:rPr>
        <w:t>____________________________</w:t>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w:t>
      </w:r>
      <w:r>
        <w:rPr>
          <w:rFonts w:cs="Times New Roman" w:ascii="Times New Roman" w:hAnsi="Times New Roman"/>
          <w:i/>
          <w:sz w:val="16"/>
          <w:szCs w:val="16"/>
          <w:u w:val="single"/>
        </w:rPr>
        <w:t>.</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«м»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070" w:hanging="360"/>
      </w:pPr>
      <w:rPr/>
    </w:lvl>
    <w:lvl w:ilvl="1">
      <w:start w:val="1"/>
      <w:numFmt w:val="lowerLetter"/>
      <w:lvlText w:val="%2."/>
      <w:lvlJc w:val="left"/>
      <w:pPr>
        <w:tabs>
          <w:tab w:val="num" w:pos="0"/>
        </w:tabs>
        <w:ind w:left="1790" w:hanging="360"/>
      </w:pPr>
      <w:rPr/>
    </w:lvl>
    <w:lvl w:ilvl="2">
      <w:start w:val="1"/>
      <w:numFmt w:val="lowerRoman"/>
      <w:lvlText w:val="%3."/>
      <w:lvlJc w:val="right"/>
      <w:pPr>
        <w:tabs>
          <w:tab w:val="num" w:pos="0"/>
        </w:tabs>
        <w:ind w:left="2510" w:hanging="180"/>
      </w:pPr>
      <w:rPr/>
    </w:lvl>
    <w:lvl w:ilvl="3">
      <w:start w:val="1"/>
      <w:numFmt w:val="decimal"/>
      <w:lvlText w:val="%4."/>
      <w:lvlJc w:val="left"/>
      <w:pPr>
        <w:tabs>
          <w:tab w:val="num" w:pos="0"/>
        </w:tabs>
        <w:ind w:left="3230" w:hanging="360"/>
      </w:pPr>
      <w:rPr/>
    </w:lvl>
    <w:lvl w:ilvl="4">
      <w:start w:val="1"/>
      <w:numFmt w:val="lowerLetter"/>
      <w:lvlText w:val="%5."/>
      <w:lvlJc w:val="left"/>
      <w:pPr>
        <w:tabs>
          <w:tab w:val="num" w:pos="0"/>
        </w:tabs>
        <w:ind w:left="3950" w:hanging="360"/>
      </w:pPr>
      <w:rPr/>
    </w:lvl>
    <w:lvl w:ilvl="5">
      <w:start w:val="1"/>
      <w:numFmt w:val="lowerRoman"/>
      <w:lvlText w:val="%6."/>
      <w:lvlJc w:val="right"/>
      <w:pPr>
        <w:tabs>
          <w:tab w:val="num" w:pos="0"/>
        </w:tabs>
        <w:ind w:left="4670" w:hanging="180"/>
      </w:pPr>
      <w:rPr/>
    </w:lvl>
    <w:lvl w:ilvl="6">
      <w:start w:val="1"/>
      <w:numFmt w:val="decimal"/>
      <w:lvlText w:val="%7."/>
      <w:lvlJc w:val="left"/>
      <w:pPr>
        <w:tabs>
          <w:tab w:val="num" w:pos="0"/>
        </w:tabs>
        <w:ind w:left="5390" w:hanging="360"/>
      </w:pPr>
      <w:rPr/>
    </w:lvl>
    <w:lvl w:ilvl="7">
      <w:start w:val="1"/>
      <w:numFmt w:val="lowerLetter"/>
      <w:lvlText w:val="%8."/>
      <w:lvlJc w:val="left"/>
      <w:pPr>
        <w:tabs>
          <w:tab w:val="num" w:pos="0"/>
        </w:tabs>
        <w:ind w:left="6110" w:hanging="360"/>
      </w:pPr>
      <w:rPr/>
    </w:lvl>
    <w:lvl w:ilvl="8">
      <w:start w:val="1"/>
      <w:numFmt w:val="lowerRoman"/>
      <w:lvlText w:val="%9."/>
      <w:lvlJc w:val="right"/>
      <w:pPr>
        <w:tabs>
          <w:tab w:val="num" w:pos="0"/>
        </w:tabs>
        <w:ind w:left="6830"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1920" w:hanging="360"/>
      </w:pPr>
      <w:rPr>
        <w:b/>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2784" w:hanging="504"/>
      </w:pPr>
      <w:rPr/>
    </w:lvl>
    <w:lvl w:ilvl="3">
      <w:start w:val="1"/>
      <w:numFmt w:val="decimal"/>
      <w:lvlText w:val="%1.%2.%3.%4."/>
      <w:lvlJc w:val="left"/>
      <w:pPr>
        <w:tabs>
          <w:tab w:val="num" w:pos="0"/>
        </w:tabs>
        <w:ind w:left="3288" w:hanging="648"/>
      </w:pPr>
      <w:rPr/>
    </w:lvl>
    <w:lvl w:ilvl="4">
      <w:start w:val="1"/>
      <w:numFmt w:val="decimal"/>
      <w:lvlText w:val="%1.%2.%3.%4.%5."/>
      <w:lvlJc w:val="left"/>
      <w:pPr>
        <w:tabs>
          <w:tab w:val="num" w:pos="0"/>
        </w:tabs>
        <w:ind w:left="3792" w:hanging="792"/>
      </w:pPr>
      <w:rPr/>
    </w:lvl>
    <w:lvl w:ilvl="5">
      <w:start w:val="1"/>
      <w:numFmt w:val="decimal"/>
      <w:lvlText w:val="%1.%2.%3.%4.%5.%6."/>
      <w:lvlJc w:val="left"/>
      <w:pPr>
        <w:tabs>
          <w:tab w:val="num" w:pos="0"/>
        </w:tabs>
        <w:ind w:left="4296" w:hanging="936"/>
      </w:pPr>
      <w:rPr/>
    </w:lvl>
    <w:lvl w:ilvl="6">
      <w:start w:val="1"/>
      <w:numFmt w:val="decimal"/>
      <w:lvlText w:val="%1.%2.%3.%4.%5.%6.%7."/>
      <w:lvlJc w:val="left"/>
      <w:pPr>
        <w:tabs>
          <w:tab w:val="num" w:pos="0"/>
        </w:tabs>
        <w:ind w:left="4800" w:hanging="1080"/>
      </w:pPr>
      <w:rPr/>
    </w:lvl>
    <w:lvl w:ilvl="7">
      <w:start w:val="1"/>
      <w:numFmt w:val="decimal"/>
      <w:lvlText w:val="%1.%2.%3.%4.%5.%6.%7.%8."/>
      <w:lvlJc w:val="left"/>
      <w:pPr>
        <w:tabs>
          <w:tab w:val="num" w:pos="0"/>
        </w:tabs>
        <w:ind w:left="5304" w:hanging="1224"/>
      </w:pPr>
      <w:rPr/>
    </w:lvl>
    <w:lvl w:ilvl="8">
      <w:start w:val="1"/>
      <w:numFmt w:val="decimal"/>
      <w:lvlText w:val="%1.%2.%3.%4.%5.%6.%7.%8.%9."/>
      <w:lvlJc w:val="left"/>
      <w:pPr>
        <w:tabs>
          <w:tab w:val="num" w:pos="0"/>
        </w:tabs>
        <w:ind w:left="5880" w:hanging="1440"/>
      </w:pPr>
      <w:rPr/>
    </w:lvl>
  </w:abstractNum>
  <w:abstractNum w:abstractNumId="7">
    <w:lvl w:ilvl="0">
      <w:start w:val="1"/>
      <w:numFmt w:val="upperRoman"/>
      <w:lvlText w:val="%1."/>
      <w:lvlJc w:val="left"/>
      <w:pPr>
        <w:tabs>
          <w:tab w:val="num" w:pos="0"/>
        </w:tabs>
        <w:ind w:left="1571"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1571"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9"/>
    <w:lvlOverride w:ilvl="0">
      <w:startOverride w:val="1"/>
    </w:lvlOverride>
  </w:num>
  <w:num w:numId="12">
    <w:abstractNumId w:val="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5"/>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8a6a92"/>
    <w:rPr/>
  </w:style>
  <w:style w:type="character" w:styleId="ConsPlusNormal" w:customStyle="1">
    <w:name w:val="ConsPlusNormal Знак"/>
    <w:basedOn w:val="DefaultParagraphFont"/>
    <w:link w:val="ConsPlusNormal1"/>
    <w:qFormat/>
    <w:locked/>
    <w:rsid w:val="008a6a92"/>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980d00"/>
    <w:rPr>
      <w:rFonts w:ascii="Times New Roman" w:hAnsi="Times New Roman" w:cs="Times New Roman"/>
      <w:b w:val="false"/>
      <w:bCs w:val="false"/>
      <w:color w:val="000000"/>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5"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6"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857C1-C159-4286-8930-FE53E117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Application>LibreOffice/24.2.4.2$Windows_X86_64 LibreOffice_project/51a6219feb6075d9a4c46691dcfe0cd9c4fff3c2</Application>
  <AppVersion>15.0000</AppVersion>
  <Pages>22</Pages>
  <Words>5895</Words>
  <Characters>43467</Characters>
  <CharactersWithSpaces>49129</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2017-12-01T11:09:00Z</dcterms:created>
  <dc:creator>Василий</dc:creator>
  <dc:description/>
  <dc:language>ru-RU</dc:language>
  <cp:lastModifiedBy/>
  <cp:lastPrinted>2018-08-06T11:52:00Z</cp:lastPrinted>
  <dcterms:modified xsi:type="dcterms:W3CDTF">2026-08-25T14:39:12Z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file>